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40" w:rsidRDefault="00811140" w:rsidP="00811140">
      <w:pPr>
        <w:suppressAutoHyphens/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8. Самостійна робота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087"/>
        <w:gridCol w:w="1525"/>
      </w:tblGrid>
      <w:tr w:rsidR="00811140" w:rsidTr="00DE7092">
        <w:tc>
          <w:tcPr>
            <w:tcW w:w="959" w:type="dxa"/>
          </w:tcPr>
          <w:p w:rsidR="00811140" w:rsidRPr="00D04280" w:rsidRDefault="00811140" w:rsidP="00DE7092">
            <w:pPr>
              <w:suppressAutoHyphens/>
              <w:snapToGrid w:val="0"/>
              <w:ind w:left="142" w:hanging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0428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</w:t>
            </w:r>
          </w:p>
          <w:p w:rsidR="00811140" w:rsidRPr="00D04280" w:rsidRDefault="00811140" w:rsidP="00DE709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0428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з/п</w:t>
            </w:r>
          </w:p>
        </w:tc>
        <w:tc>
          <w:tcPr>
            <w:tcW w:w="7087" w:type="dxa"/>
          </w:tcPr>
          <w:p w:rsidR="00811140" w:rsidRDefault="00811140" w:rsidP="00DE7092">
            <w:pPr>
              <w:suppressAutoHyphens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D0428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Назва теми</w:t>
            </w:r>
          </w:p>
        </w:tc>
        <w:tc>
          <w:tcPr>
            <w:tcW w:w="1525" w:type="dxa"/>
          </w:tcPr>
          <w:p w:rsidR="00811140" w:rsidRPr="00D04280" w:rsidRDefault="00811140" w:rsidP="00DE7092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0428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Кількість</w:t>
            </w:r>
          </w:p>
          <w:p w:rsidR="00811140" w:rsidRDefault="00811140" w:rsidP="00DE7092">
            <w:pPr>
              <w:suppressAutoHyphens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D0428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годин</w:t>
            </w:r>
          </w:p>
        </w:tc>
      </w:tr>
      <w:tr w:rsidR="00811140" w:rsidTr="00DE7092">
        <w:tc>
          <w:tcPr>
            <w:tcW w:w="959" w:type="dxa"/>
          </w:tcPr>
          <w:p w:rsidR="00811140" w:rsidRPr="00D04280" w:rsidRDefault="00811140" w:rsidP="00DE709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042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87" w:type="dxa"/>
          </w:tcPr>
          <w:p w:rsidR="00811140" w:rsidRDefault="00811140" w:rsidP="00DE7092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D04280">
              <w:rPr>
                <w:rFonts w:ascii="Times New Roman" w:eastAsia="Times New Roman" w:hAnsi="Times New Roman"/>
                <w:bCs/>
                <w:sz w:val="28"/>
                <w:szCs w:val="28"/>
                <w:lang w:val="fr-FR" w:eastAsia="ar-SA"/>
              </w:rPr>
              <w:t>Les mots qui restent hors des groupes syntaxiques.</w:t>
            </w:r>
          </w:p>
        </w:tc>
        <w:tc>
          <w:tcPr>
            <w:tcW w:w="1525" w:type="dxa"/>
          </w:tcPr>
          <w:p w:rsidR="00811140" w:rsidRPr="00D04280" w:rsidRDefault="00811140" w:rsidP="00DE709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811140" w:rsidTr="00DE7092">
        <w:tc>
          <w:tcPr>
            <w:tcW w:w="959" w:type="dxa"/>
          </w:tcPr>
          <w:p w:rsidR="00811140" w:rsidRPr="00D04280" w:rsidRDefault="00811140" w:rsidP="00DE709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042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87" w:type="dxa"/>
          </w:tcPr>
          <w:p w:rsidR="00811140" w:rsidRDefault="00811140" w:rsidP="00DE7092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D04280">
              <w:rPr>
                <w:rFonts w:ascii="Times New Roman" w:eastAsia="Times New Roman" w:hAnsi="Times New Roman"/>
                <w:bCs/>
                <w:sz w:val="28"/>
                <w:szCs w:val="28"/>
                <w:lang w:val="fr-FR" w:eastAsia="ar-SA"/>
              </w:rPr>
              <w:t>La ségmentation ou la dislocation.</w:t>
            </w:r>
          </w:p>
        </w:tc>
        <w:tc>
          <w:tcPr>
            <w:tcW w:w="1525" w:type="dxa"/>
          </w:tcPr>
          <w:p w:rsidR="00811140" w:rsidRPr="00D04280" w:rsidRDefault="00811140" w:rsidP="00DE709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811140" w:rsidTr="00DE7092">
        <w:tc>
          <w:tcPr>
            <w:tcW w:w="959" w:type="dxa"/>
          </w:tcPr>
          <w:p w:rsidR="00811140" w:rsidRPr="00D04280" w:rsidRDefault="00811140" w:rsidP="00DE709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87" w:type="dxa"/>
          </w:tcPr>
          <w:p w:rsidR="00811140" w:rsidRDefault="00811140" w:rsidP="00DE7092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D04280">
              <w:rPr>
                <w:rFonts w:ascii="Times New Roman" w:eastAsia="Times New Roman" w:hAnsi="Times New Roman"/>
                <w:bCs/>
                <w:sz w:val="28"/>
                <w:szCs w:val="28"/>
                <w:lang w:val="fr-FR" w:eastAsia="ar-SA"/>
              </w:rPr>
              <w:t>La mise en relief affective.</w:t>
            </w:r>
          </w:p>
        </w:tc>
        <w:tc>
          <w:tcPr>
            <w:tcW w:w="1525" w:type="dxa"/>
          </w:tcPr>
          <w:p w:rsidR="00811140" w:rsidRPr="00D04280" w:rsidRDefault="00811140" w:rsidP="00DE709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811140" w:rsidTr="00DE7092">
        <w:tc>
          <w:tcPr>
            <w:tcW w:w="959" w:type="dxa"/>
          </w:tcPr>
          <w:p w:rsidR="00811140" w:rsidRPr="00D04280" w:rsidRDefault="00811140" w:rsidP="00DE709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042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87" w:type="dxa"/>
          </w:tcPr>
          <w:p w:rsidR="00811140" w:rsidRDefault="00811140" w:rsidP="00DE7092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D04280">
              <w:rPr>
                <w:rFonts w:ascii="Times New Roman" w:eastAsia="Times New Roman" w:hAnsi="Times New Roman"/>
                <w:bCs/>
                <w:sz w:val="28"/>
                <w:szCs w:val="28"/>
                <w:lang w:val="fr-FR" w:eastAsia="ar-SA"/>
              </w:rPr>
              <w:t>Les tours équivalent à des propositions complément d’objet.</w:t>
            </w:r>
          </w:p>
        </w:tc>
        <w:tc>
          <w:tcPr>
            <w:tcW w:w="1525" w:type="dxa"/>
          </w:tcPr>
          <w:p w:rsidR="00811140" w:rsidRPr="00D04280" w:rsidRDefault="00811140" w:rsidP="00DE709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811140" w:rsidTr="00DE7092">
        <w:tc>
          <w:tcPr>
            <w:tcW w:w="959" w:type="dxa"/>
          </w:tcPr>
          <w:p w:rsidR="00811140" w:rsidRPr="00D04280" w:rsidRDefault="00811140" w:rsidP="00DE709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042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87" w:type="dxa"/>
          </w:tcPr>
          <w:p w:rsidR="00811140" w:rsidRDefault="00811140" w:rsidP="00DE7092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D04280">
              <w:rPr>
                <w:rFonts w:ascii="Times New Roman" w:eastAsia="Times New Roman" w:hAnsi="Times New Roman"/>
                <w:bCs/>
                <w:sz w:val="28"/>
                <w:szCs w:val="28"/>
                <w:lang w:val="fr-FR" w:eastAsia="ar-SA"/>
              </w:rPr>
              <w:t>Quelques particularités de structure de la proposition relative.</w:t>
            </w:r>
          </w:p>
        </w:tc>
        <w:tc>
          <w:tcPr>
            <w:tcW w:w="1525" w:type="dxa"/>
          </w:tcPr>
          <w:p w:rsidR="00811140" w:rsidRPr="00D04280" w:rsidRDefault="00811140" w:rsidP="00DE709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811140" w:rsidTr="00DE7092">
        <w:tc>
          <w:tcPr>
            <w:tcW w:w="959" w:type="dxa"/>
          </w:tcPr>
          <w:p w:rsidR="00811140" w:rsidRPr="00D04280" w:rsidRDefault="00811140" w:rsidP="00DE709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042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87" w:type="dxa"/>
          </w:tcPr>
          <w:p w:rsidR="00811140" w:rsidRDefault="00811140" w:rsidP="00DE7092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D04280">
              <w:rPr>
                <w:rFonts w:ascii="Times New Roman" w:eastAsia="Times New Roman" w:hAnsi="Times New Roman"/>
                <w:bCs/>
                <w:sz w:val="28"/>
                <w:szCs w:val="28"/>
                <w:lang w:val="fr-FR" w:eastAsia="ar-SA"/>
              </w:rPr>
              <w:t>Les tours équivalent à des subordonnées circonstancielles.</w:t>
            </w:r>
          </w:p>
        </w:tc>
        <w:tc>
          <w:tcPr>
            <w:tcW w:w="1525" w:type="dxa"/>
          </w:tcPr>
          <w:p w:rsidR="00811140" w:rsidRPr="00D04280" w:rsidRDefault="00811140" w:rsidP="00DE709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811140" w:rsidTr="00DE7092">
        <w:tc>
          <w:tcPr>
            <w:tcW w:w="959" w:type="dxa"/>
          </w:tcPr>
          <w:p w:rsidR="00811140" w:rsidRPr="00D04280" w:rsidRDefault="00811140" w:rsidP="00DE709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042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87" w:type="dxa"/>
          </w:tcPr>
          <w:p w:rsidR="00811140" w:rsidRDefault="00811140" w:rsidP="00DE7092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D04280">
              <w:rPr>
                <w:rFonts w:ascii="Times New Roman" w:eastAsia="Times New Roman" w:hAnsi="Times New Roman"/>
                <w:bCs/>
                <w:sz w:val="28"/>
                <w:szCs w:val="28"/>
                <w:lang w:val="fr-FR" w:eastAsia="ar-SA"/>
              </w:rPr>
              <w:t>La subordonnée interrogative.</w:t>
            </w:r>
          </w:p>
        </w:tc>
        <w:tc>
          <w:tcPr>
            <w:tcW w:w="1525" w:type="dxa"/>
          </w:tcPr>
          <w:p w:rsidR="00811140" w:rsidRPr="00D04280" w:rsidRDefault="00811140" w:rsidP="00DE709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811140" w:rsidTr="00DE7092">
        <w:tc>
          <w:tcPr>
            <w:tcW w:w="959" w:type="dxa"/>
          </w:tcPr>
          <w:p w:rsidR="00811140" w:rsidRPr="00D04280" w:rsidRDefault="00811140" w:rsidP="00DE709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042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87" w:type="dxa"/>
          </w:tcPr>
          <w:p w:rsidR="00811140" w:rsidRDefault="00811140" w:rsidP="00DE7092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D04280">
              <w:rPr>
                <w:rFonts w:ascii="Times New Roman" w:eastAsia="Times New Roman" w:hAnsi="Times New Roman"/>
                <w:bCs/>
                <w:sz w:val="28"/>
                <w:szCs w:val="28"/>
                <w:lang w:val="fr-FR" w:eastAsia="ar-SA"/>
              </w:rPr>
              <w:t>L’emploi des temps et des modes dans la subordonnée complétive.</w:t>
            </w:r>
          </w:p>
        </w:tc>
        <w:tc>
          <w:tcPr>
            <w:tcW w:w="1525" w:type="dxa"/>
          </w:tcPr>
          <w:p w:rsidR="00811140" w:rsidRPr="00D04280" w:rsidRDefault="00811140" w:rsidP="00DE709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811140" w:rsidTr="00DE7092">
        <w:tc>
          <w:tcPr>
            <w:tcW w:w="959" w:type="dxa"/>
          </w:tcPr>
          <w:p w:rsidR="00811140" w:rsidRPr="00D04280" w:rsidRDefault="00811140" w:rsidP="00DE709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042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087" w:type="dxa"/>
          </w:tcPr>
          <w:p w:rsidR="00811140" w:rsidRDefault="00811140" w:rsidP="00DE7092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D04280">
              <w:rPr>
                <w:rFonts w:ascii="Times New Roman" w:eastAsia="Times New Roman" w:hAnsi="Times New Roman"/>
                <w:bCs/>
                <w:sz w:val="28"/>
                <w:szCs w:val="28"/>
                <w:lang w:val="fr-FR" w:eastAsia="ar-SA"/>
              </w:rPr>
              <w:t>La sructure de la phrase à subordonnée relative.</w:t>
            </w:r>
          </w:p>
        </w:tc>
        <w:tc>
          <w:tcPr>
            <w:tcW w:w="1525" w:type="dxa"/>
          </w:tcPr>
          <w:p w:rsidR="00811140" w:rsidRPr="00D04280" w:rsidRDefault="00811140" w:rsidP="00DE709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811140" w:rsidTr="00DE7092">
        <w:tc>
          <w:tcPr>
            <w:tcW w:w="959" w:type="dxa"/>
          </w:tcPr>
          <w:p w:rsidR="00811140" w:rsidRPr="00D04280" w:rsidRDefault="00811140" w:rsidP="00DE709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042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87" w:type="dxa"/>
          </w:tcPr>
          <w:p w:rsidR="00811140" w:rsidRPr="00D04280" w:rsidRDefault="00811140" w:rsidP="00DE7092">
            <w:pPr>
              <w:suppressAutoHyphens/>
              <w:rPr>
                <w:rFonts w:ascii="Times New Roman" w:eastAsia="Times New Roman" w:hAnsi="Times New Roman"/>
                <w:bCs/>
                <w:sz w:val="28"/>
                <w:szCs w:val="28"/>
                <w:lang w:val="fr-FR" w:eastAsia="ar-SA"/>
              </w:rPr>
            </w:pPr>
            <w:r w:rsidRPr="00D04280">
              <w:rPr>
                <w:rFonts w:ascii="Times New Roman" w:eastAsia="Times New Roman" w:hAnsi="Times New Roman"/>
                <w:bCs/>
                <w:sz w:val="28"/>
                <w:szCs w:val="28"/>
                <w:lang w:val="fr-FR" w:eastAsia="ar-SA"/>
              </w:rPr>
              <w:t>10. La subordonnée complément de nom et de pronom.</w:t>
            </w:r>
          </w:p>
          <w:p w:rsidR="00811140" w:rsidRDefault="00811140" w:rsidP="00DE7092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525" w:type="dxa"/>
          </w:tcPr>
          <w:p w:rsidR="00811140" w:rsidRPr="00D04280" w:rsidRDefault="00811140" w:rsidP="00DE709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811140" w:rsidTr="00DE7092">
        <w:tc>
          <w:tcPr>
            <w:tcW w:w="959" w:type="dxa"/>
          </w:tcPr>
          <w:p w:rsidR="00811140" w:rsidRPr="00D04280" w:rsidRDefault="00811140" w:rsidP="00DE709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0428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  <w:p w:rsidR="00811140" w:rsidRPr="00D04280" w:rsidRDefault="00811140" w:rsidP="00DE709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87" w:type="dxa"/>
          </w:tcPr>
          <w:p w:rsidR="00811140" w:rsidRDefault="00811140" w:rsidP="00DE7092">
            <w:pPr>
              <w:suppressAutoHyphens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D04280">
              <w:rPr>
                <w:rFonts w:ascii="Times New Roman" w:eastAsia="Times New Roman" w:hAnsi="Times New Roman"/>
                <w:bCs/>
                <w:sz w:val="28"/>
                <w:szCs w:val="28"/>
                <w:lang w:val="fr-FR" w:eastAsia="ar-SA"/>
              </w:rPr>
              <w:t>La subordonnée complément d’objet.</w:t>
            </w:r>
          </w:p>
        </w:tc>
        <w:tc>
          <w:tcPr>
            <w:tcW w:w="1525" w:type="dxa"/>
          </w:tcPr>
          <w:p w:rsidR="00811140" w:rsidRPr="00D04280" w:rsidRDefault="00811140" w:rsidP="00DE709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811140" w:rsidTr="00DE7092">
        <w:tc>
          <w:tcPr>
            <w:tcW w:w="959" w:type="dxa"/>
          </w:tcPr>
          <w:p w:rsidR="00811140" w:rsidRDefault="00811140" w:rsidP="00DE7092">
            <w:pPr>
              <w:suppressAutoHyphens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7" w:type="dxa"/>
          </w:tcPr>
          <w:p w:rsidR="00811140" w:rsidRPr="00D04280" w:rsidRDefault="00811140" w:rsidP="00DE7092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Разом </w:t>
            </w:r>
          </w:p>
        </w:tc>
        <w:tc>
          <w:tcPr>
            <w:tcW w:w="1525" w:type="dxa"/>
          </w:tcPr>
          <w:p w:rsidR="00811140" w:rsidRPr="00D04280" w:rsidRDefault="00811140" w:rsidP="00DE709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</w:tr>
    </w:tbl>
    <w:p w:rsidR="00811140" w:rsidRDefault="00811140" w:rsidP="00811140">
      <w:pPr>
        <w:suppressAutoHyphens/>
        <w:spacing w:after="0" w:line="240" w:lineRule="auto"/>
      </w:pPr>
    </w:p>
    <w:p w:rsidR="0036078C" w:rsidRDefault="0036078C">
      <w:bookmarkStart w:id="0" w:name="_GoBack"/>
      <w:bookmarkEnd w:id="0"/>
    </w:p>
    <w:sectPr w:rsidR="00360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2B"/>
    <w:rsid w:val="00323A2B"/>
    <w:rsid w:val="0036078C"/>
    <w:rsid w:val="0081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40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40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>PU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2020-01-23T08:00:00Z</dcterms:created>
  <dcterms:modified xsi:type="dcterms:W3CDTF">2020-01-23T08:01:00Z</dcterms:modified>
</cp:coreProperties>
</file>